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B" w:rsidRDefault="00FF37AB" w:rsidP="000802FA">
      <w:pPr>
        <w:jc w:val="center"/>
        <w:rPr>
          <w:b/>
          <w:bCs/>
          <w:color w:val="002060"/>
          <w:sz w:val="44"/>
          <w:szCs w:val="4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alt="Etkk_logo_egysoros" style="position:absolute;left:0;text-align:left;margin-left:194.25pt;margin-top:-37.85pt;width:216.75pt;height:46.5pt;z-index:251658240;visibility:visible">
            <v:imagedata r:id="rId6" o:title=""/>
          </v:shape>
        </w:pict>
      </w:r>
      <w:r>
        <w:rPr>
          <w:noProof/>
          <w:lang w:eastAsia="hu-HU"/>
        </w:rPr>
        <w:pict>
          <v:shape id="Kép 1" o:spid="_x0000_s1027" type="#_x0000_t75" alt="új mbe_logo (1)" style="position:absolute;left:0;text-align:left;margin-left:-4.1pt;margin-top:-37.85pt;width:82.5pt;height:135.7pt;z-index:-251659264;visibility:visible" wrapcoords="-196 0 -196 21481 21600 21481 21600 0 -196 0">
            <v:imagedata r:id="rId7" o:title=""/>
            <w10:wrap type="tight"/>
          </v:shape>
        </w:pict>
      </w:r>
    </w:p>
    <w:p w:rsidR="00FF37AB" w:rsidRDefault="00FF37AB" w:rsidP="000802FA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0802FA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635B52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635B52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635B52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635B52">
      <w:pPr>
        <w:jc w:val="center"/>
        <w:rPr>
          <w:b/>
          <w:bCs/>
          <w:color w:val="002060"/>
          <w:sz w:val="44"/>
          <w:szCs w:val="44"/>
        </w:rPr>
      </w:pP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  <w:r w:rsidRPr="00635B52">
        <w:rPr>
          <w:b/>
          <w:bCs/>
          <w:color w:val="002060"/>
          <w:sz w:val="72"/>
          <w:szCs w:val="72"/>
        </w:rPr>
        <w:t>ESÉLYEGYENLŐSÉGI TRÉNING</w:t>
      </w: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</w:p>
    <w:p w:rsidR="00FF37AB" w:rsidRDefault="00FF37AB" w:rsidP="00635B52">
      <w:pPr>
        <w:jc w:val="center"/>
        <w:rPr>
          <w:b/>
          <w:bCs/>
          <w:color w:val="002060"/>
          <w:sz w:val="72"/>
          <w:szCs w:val="72"/>
        </w:rPr>
      </w:pPr>
    </w:p>
    <w:p w:rsidR="00FF37AB" w:rsidRPr="000802FA" w:rsidRDefault="00FF37AB" w:rsidP="00635B52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802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Fogalmak</w:t>
      </w:r>
    </w:p>
    <w:p w:rsidR="00FF37AB" w:rsidRPr="00BE5ECC" w:rsidRDefault="00FF37AB" w:rsidP="000802FA">
      <w:pPr>
        <w:pStyle w:val="BodyText"/>
        <w:spacing w:after="300"/>
        <w:rPr>
          <w:b/>
          <w:bCs/>
          <w:smallCaps/>
        </w:rPr>
      </w:pPr>
      <w:r w:rsidRPr="00BE5ECC">
        <w:rPr>
          <w:b/>
          <w:bCs/>
          <w:smallCaps/>
        </w:rPr>
        <w:t xml:space="preserve">Fogyatékossággal élő személy </w:t>
      </w:r>
    </w:p>
    <w:p w:rsidR="00FF37AB" w:rsidRPr="00BE5ECC" w:rsidRDefault="00FF37AB" w:rsidP="000802FA">
      <w:pPr>
        <w:pStyle w:val="BodyText"/>
        <w:spacing w:after="300"/>
        <w:jc w:val="both"/>
        <w:rPr>
          <w:i/>
          <w:iCs/>
          <w:color w:val="252525"/>
        </w:rPr>
      </w:pPr>
      <w:r w:rsidRPr="00BE5ECC">
        <w:rPr>
          <w:color w:val="252525"/>
        </w:rPr>
        <w:t xml:space="preserve">Fogyatékos személy: az a személy, aki tartósan vagy véglegesen olyan érzékszervi, kommunikációs, fizikai, értelmi, pszichoszociális károsodással - illetve ezek bármilyen halmozódásával - él, amely a környezeti, társadalmi és egyéb jelentős akadályokkal kölcsönhatásban a hatékony és másokkal egyenlő társadalmi részvételt korlátozza vagy gátolja; </w:t>
      </w:r>
      <w:bookmarkStart w:id="0" w:name="pr1"/>
      <w:bookmarkEnd w:id="0"/>
      <w:r w:rsidRPr="00BE5ECC">
        <w:rPr>
          <w:i/>
          <w:iCs/>
          <w:color w:val="252525"/>
        </w:rPr>
        <w:t xml:space="preserve">(1998. évi XXVI. törvény </w:t>
      </w:r>
      <w:bookmarkStart w:id="1" w:name="pr2"/>
      <w:bookmarkEnd w:id="1"/>
      <w:r w:rsidRPr="00BE5ECC">
        <w:rPr>
          <w:i/>
          <w:iCs/>
          <w:color w:val="252525"/>
        </w:rPr>
        <w:t>a fogyatékos személyek jogairól és esélyegyenlőségük biztosításáról</w:t>
      </w:r>
      <w:hyperlink r:id="rId8" w:anchor="lbj1param" w:history="1">
        <w:r w:rsidRPr="00BE5ECC">
          <w:rPr>
            <w:i/>
            <w:iCs/>
            <w:color w:val="252525"/>
          </w:rPr>
          <w:t>)</w:t>
        </w:r>
      </w:hyperlink>
    </w:p>
    <w:p w:rsidR="00FF37AB" w:rsidRDefault="00FF37AB" w:rsidP="000802FA">
      <w:pPr>
        <w:pStyle w:val="BodyText"/>
        <w:spacing w:after="300"/>
        <w:rPr>
          <w:b/>
          <w:bCs/>
          <w:smallCaps/>
        </w:rPr>
      </w:pPr>
      <w:r w:rsidRPr="00016041">
        <w:rPr>
          <w:b/>
          <w:bCs/>
          <w:smallCaps/>
        </w:rPr>
        <w:t xml:space="preserve">fogyatékosság </w:t>
      </w:r>
    </w:p>
    <w:p w:rsidR="00FF37AB" w:rsidRDefault="00FF37AB" w:rsidP="000802FA">
      <w:pPr>
        <w:pStyle w:val="BodyText"/>
        <w:spacing w:after="300"/>
        <w:jc w:val="both"/>
        <w:rPr>
          <w:color w:val="252525"/>
        </w:rPr>
      </w:pPr>
      <w:r w:rsidRPr="000E72AF">
        <w:rPr>
          <w:color w:val="252525"/>
        </w:rPr>
        <w:t>Hosszan tartó fizikai, értelmi, pszichoszociális vagy érzékszervi károsodás, amely számos egyéb akadállyal együtt korlátozhatja egy adott személy teljes, hatékony és másokkal egyenlő társadalmi szerepvállalását. Bárki bármikor fogyatékossá válhat. A fogyatékosság nem betegség, hanem egy állapot, ami a fogyatékossággal élő személyek és az attitűdbeli, illetve a környezeti akadályok kölcsönhatásának következményéből adódik. Ezen akadályok gátolják a fogyatékos személyt a társadalomban való teljes és hatékony, másokkal azonos alapon történő részvételben.</w:t>
      </w:r>
    </w:p>
    <w:p w:rsidR="00FF37AB" w:rsidRPr="00BE5ECC" w:rsidRDefault="00FF37AB" w:rsidP="000802FA">
      <w:pPr>
        <w:pStyle w:val="BodyText"/>
        <w:spacing w:after="300"/>
        <w:rPr>
          <w:b/>
          <w:bCs/>
          <w:smallCaps/>
        </w:rPr>
      </w:pPr>
      <w:r w:rsidRPr="00BE5ECC">
        <w:rPr>
          <w:b/>
          <w:bCs/>
          <w:smallCaps/>
        </w:rPr>
        <w:t>fogyatékosság</w:t>
      </w:r>
      <w:r>
        <w:rPr>
          <w:b/>
          <w:bCs/>
          <w:smallCaps/>
        </w:rPr>
        <w:t xml:space="preserve"> </w:t>
      </w:r>
      <w:r w:rsidRPr="00BE5ECC">
        <w:rPr>
          <w:b/>
          <w:bCs/>
          <w:smallCaps/>
        </w:rPr>
        <w:t xml:space="preserve"> alapján történő hátrányos megkülönböztetés</w:t>
      </w:r>
    </w:p>
    <w:p w:rsidR="00FF37AB" w:rsidRPr="00BE5ECC" w:rsidRDefault="00FF37AB" w:rsidP="000802FA">
      <w:pPr>
        <w:pStyle w:val="BodyText"/>
        <w:spacing w:after="300"/>
        <w:jc w:val="both"/>
        <w:rPr>
          <w:color w:val="252525"/>
        </w:rPr>
      </w:pPr>
      <w:r w:rsidRPr="00BE5ECC">
        <w:rPr>
          <w:color w:val="252525"/>
        </w:rPr>
        <w:t>A „fogyatékosság alapján történő hátrányos megkülönböztetés” a fogyatékosságon alapuló bármilyen</w:t>
      </w:r>
      <w:r>
        <w:rPr>
          <w:color w:val="252525"/>
        </w:rPr>
        <w:t xml:space="preserve"> </w:t>
      </w:r>
      <w:r w:rsidRPr="00BE5ECC">
        <w:rPr>
          <w:color w:val="252525"/>
        </w:rPr>
        <w:t>különbségtételt, kizárást vagy korlátozást jelent, amelynek célja vagy hatása valamennyi emberi jog és alapvető</w:t>
      </w:r>
      <w:r>
        <w:rPr>
          <w:color w:val="252525"/>
        </w:rPr>
        <w:t xml:space="preserve"> </w:t>
      </w:r>
      <w:r w:rsidRPr="00BE5ECC">
        <w:rPr>
          <w:color w:val="252525"/>
        </w:rPr>
        <w:t>szabadság másokkal azonos alapon történő elismerésének, élvezetének vagy gyakorlásának csorbítása vagy semmibe</w:t>
      </w:r>
      <w:r>
        <w:rPr>
          <w:color w:val="252525"/>
        </w:rPr>
        <w:t xml:space="preserve"> </w:t>
      </w:r>
      <w:r w:rsidRPr="00BE5ECC">
        <w:rPr>
          <w:color w:val="252525"/>
        </w:rPr>
        <w:t>vétele a politikai, a gazdasági, a szociális, a kulturális, a civil élet terén, vagy bármely egyéb területen. Ez a</w:t>
      </w:r>
      <w:r>
        <w:rPr>
          <w:color w:val="252525"/>
        </w:rPr>
        <w:t xml:space="preserve"> </w:t>
      </w:r>
      <w:r w:rsidRPr="00BE5ECC">
        <w:rPr>
          <w:color w:val="252525"/>
        </w:rPr>
        <w:t>hátrányos megkülönböztetés minden formáját magában foglalja, egyebek között az ésszerű alkalmazkodás</w:t>
      </w:r>
      <w:r>
        <w:rPr>
          <w:color w:val="252525"/>
        </w:rPr>
        <w:t xml:space="preserve"> </w:t>
      </w:r>
      <w:r w:rsidRPr="00BE5ECC">
        <w:rPr>
          <w:color w:val="252525"/>
        </w:rPr>
        <w:t>megtagadását;</w:t>
      </w:r>
    </w:p>
    <w:p w:rsidR="00FF37AB" w:rsidRPr="00BE5ECC" w:rsidRDefault="00FF37AB" w:rsidP="000802FA">
      <w:pPr>
        <w:pStyle w:val="BodyText"/>
        <w:spacing w:after="300"/>
        <w:jc w:val="both"/>
        <w:rPr>
          <w:i/>
          <w:iCs/>
          <w:color w:val="252525"/>
        </w:rPr>
      </w:pPr>
      <w:r w:rsidRPr="00BE5ECC">
        <w:rPr>
          <w:color w:val="252525"/>
        </w:rPr>
        <w:t>Az „ésszerű alkalmazkodás” az elengedhetetlen és megfelelő módosításokat és változtatásokat jelenti, amelyek</w:t>
      </w:r>
      <w:r>
        <w:rPr>
          <w:color w:val="252525"/>
        </w:rPr>
        <w:t xml:space="preserve"> </w:t>
      </w:r>
      <w:r w:rsidRPr="00BE5ECC">
        <w:rPr>
          <w:color w:val="252525"/>
        </w:rPr>
        <w:t>nem jelentenek aránytalan és indokolatlan terhet, és adott esetben szükségesek, hogy biztosítsák a fogyatékossággal</w:t>
      </w:r>
      <w:r>
        <w:rPr>
          <w:color w:val="252525"/>
        </w:rPr>
        <w:t xml:space="preserve"> </w:t>
      </w:r>
      <w:r w:rsidRPr="00BE5ECC">
        <w:rPr>
          <w:color w:val="252525"/>
        </w:rPr>
        <w:t>élő személy alapvető emberi jogainak és szabadságainak a mindenkit megillető, egyenlő mértékű élvezetét és</w:t>
      </w:r>
      <w:r>
        <w:rPr>
          <w:color w:val="252525"/>
        </w:rPr>
        <w:t xml:space="preserve"> </w:t>
      </w:r>
      <w:r w:rsidRPr="00BE5ECC">
        <w:rPr>
          <w:color w:val="252525"/>
        </w:rPr>
        <w:t>gyakorlását;</w:t>
      </w:r>
      <w:r>
        <w:rPr>
          <w:color w:val="252525"/>
        </w:rPr>
        <w:t xml:space="preserve"> </w:t>
      </w:r>
      <w:r w:rsidRPr="00BE5ECC">
        <w:rPr>
          <w:i/>
          <w:iCs/>
          <w:color w:val="252525"/>
        </w:rPr>
        <w:t xml:space="preserve">(ENSZ Egyezmény a Fogyatékossággal élő személyek jogairól) </w:t>
      </w:r>
    </w:p>
    <w:p w:rsidR="00FF37AB" w:rsidRPr="004A1427" w:rsidRDefault="00FF37AB" w:rsidP="000802FA">
      <w:pPr>
        <w:pStyle w:val="BodyText"/>
        <w:spacing w:after="300"/>
        <w:rPr>
          <w:b/>
          <w:bCs/>
          <w:smallCaps/>
        </w:rPr>
      </w:pPr>
      <w:r w:rsidRPr="004A1427">
        <w:rPr>
          <w:b/>
          <w:bCs/>
          <w:smallCaps/>
        </w:rPr>
        <w:t>Esélyegyenlőség</w:t>
      </w:r>
    </w:p>
    <w:p w:rsidR="00FF37AB" w:rsidRDefault="00FF37AB" w:rsidP="000802FA">
      <w:pPr>
        <w:pStyle w:val="BodyText"/>
        <w:spacing w:after="300"/>
        <w:jc w:val="both"/>
        <w:rPr>
          <w:color w:val="252525"/>
        </w:rPr>
      </w:pPr>
      <w:r w:rsidRPr="004A1427">
        <w:rPr>
          <w:color w:val="252525"/>
        </w:rPr>
        <w:t>A</w:t>
      </w:r>
      <w:r>
        <w:rPr>
          <w:color w:val="252525"/>
        </w:rPr>
        <w:t xml:space="preserve"> hátrányos megkülönböztetés mentesség (más néven </w:t>
      </w:r>
      <w:r w:rsidRPr="004A1427">
        <w:rPr>
          <w:color w:val="252525"/>
        </w:rPr>
        <w:t>egyenlő bánásmód</w:t>
      </w:r>
      <w:r>
        <w:rPr>
          <w:color w:val="252525"/>
        </w:rPr>
        <w:t>) nem egyenlő az esélyegyenlőség biztosításával. Az</w:t>
      </w:r>
      <w:r w:rsidRPr="004A1427">
        <w:rPr>
          <w:color w:val="252525"/>
        </w:rPr>
        <w:t xml:space="preserve"> esélyegyenlő</w:t>
      </w:r>
      <w:r>
        <w:rPr>
          <w:color w:val="252525"/>
        </w:rPr>
        <w:t xml:space="preserve">ség metgteremtése olyan </w:t>
      </w:r>
      <w:r w:rsidRPr="004A1427">
        <w:rPr>
          <w:color w:val="252525"/>
        </w:rPr>
        <w:t>politik</w:t>
      </w:r>
      <w:r>
        <w:rPr>
          <w:color w:val="252525"/>
        </w:rPr>
        <w:t xml:space="preserve">át, intézkedéseket kíván meg, amely a hátrányos megkülönböztetés </w:t>
      </w:r>
      <w:r w:rsidRPr="004A1427">
        <w:rPr>
          <w:color w:val="252525"/>
        </w:rPr>
        <w:t>tilalmának betartásán túl erőfeszítéseket te</w:t>
      </w:r>
      <w:r>
        <w:rPr>
          <w:color w:val="252525"/>
        </w:rPr>
        <w:t xml:space="preserve">sz </w:t>
      </w:r>
      <w:r w:rsidRPr="004A1427">
        <w:rPr>
          <w:color w:val="252525"/>
        </w:rPr>
        <w:t>a fogyatékos</w:t>
      </w:r>
      <w:r>
        <w:rPr>
          <w:color w:val="252525"/>
        </w:rPr>
        <w:t xml:space="preserve"> emberek társadalmi szerepvállalási esélyeinek növelésével. </w:t>
      </w:r>
    </w:p>
    <w:p w:rsidR="00FF37AB" w:rsidRDefault="00FF37AB" w:rsidP="000802FA">
      <w:pPr>
        <w:pStyle w:val="BodyText"/>
        <w:spacing w:after="300"/>
        <w:jc w:val="both"/>
        <w:rPr>
          <w:color w:val="252525"/>
        </w:rPr>
      </w:pPr>
      <w:r w:rsidRPr="004A1427">
        <w:rPr>
          <w:color w:val="252525"/>
        </w:rPr>
        <w:t xml:space="preserve">Az esélyegyenlőségi politika tehát nem esik egybe az egyenlő bánásmód biztosításával, de az esélyegyenlőség alapja a </w:t>
      </w:r>
      <w:r>
        <w:rPr>
          <w:color w:val="252525"/>
        </w:rPr>
        <w:t xml:space="preserve">hátrányos megkülönböztetés mentesség. </w:t>
      </w:r>
    </w:p>
    <w:sectPr w:rsidR="00FF37AB" w:rsidSect="008A73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AB" w:rsidRDefault="00FF37AB" w:rsidP="00635B52">
      <w:pPr>
        <w:spacing w:after="0" w:line="240" w:lineRule="auto"/>
      </w:pPr>
      <w:r>
        <w:separator/>
      </w:r>
    </w:p>
  </w:endnote>
  <w:endnote w:type="continuationSeparator" w:id="0">
    <w:p w:rsidR="00FF37AB" w:rsidRDefault="00FF37AB" w:rsidP="0063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B" w:rsidRDefault="00FF37AB" w:rsidP="00635B52">
    <w:pPr>
      <w:pStyle w:val="Footer"/>
    </w:pPr>
    <w:r w:rsidRPr="007E336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NCTA_tamogato_es_lebonyolito_logosor" style="width:828pt;height:50.25pt;visibility:visible">
          <v:imagedata r:id="rId1" o:title=""/>
        </v:shape>
      </w:pict>
    </w:r>
  </w:p>
  <w:p w:rsidR="00FF37AB" w:rsidRDefault="00FF37AB">
    <w:pPr>
      <w:pStyle w:val="Footer"/>
    </w:pPr>
  </w:p>
  <w:p w:rsidR="00FF37AB" w:rsidRDefault="00FF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AB" w:rsidRDefault="00FF37AB" w:rsidP="00635B52">
      <w:pPr>
        <w:spacing w:after="0" w:line="240" w:lineRule="auto"/>
      </w:pPr>
      <w:r>
        <w:separator/>
      </w:r>
    </w:p>
  </w:footnote>
  <w:footnote w:type="continuationSeparator" w:id="0">
    <w:p w:rsidR="00FF37AB" w:rsidRDefault="00FF37AB" w:rsidP="00635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52"/>
    <w:rsid w:val="00016041"/>
    <w:rsid w:val="000802FA"/>
    <w:rsid w:val="000E72AF"/>
    <w:rsid w:val="00107AC6"/>
    <w:rsid w:val="001B423F"/>
    <w:rsid w:val="001D573C"/>
    <w:rsid w:val="004A1427"/>
    <w:rsid w:val="00635B52"/>
    <w:rsid w:val="007948CD"/>
    <w:rsid w:val="007E3365"/>
    <w:rsid w:val="008A7310"/>
    <w:rsid w:val="00934B8E"/>
    <w:rsid w:val="00A86D7C"/>
    <w:rsid w:val="00B67F5B"/>
    <w:rsid w:val="00B94B15"/>
    <w:rsid w:val="00BE5ECC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52"/>
  </w:style>
  <w:style w:type="paragraph" w:styleId="Footer">
    <w:name w:val="footer"/>
    <w:basedOn w:val="Normal"/>
    <w:link w:val="FooterChar"/>
    <w:uiPriority w:val="99"/>
    <w:rsid w:val="0063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52"/>
  </w:style>
  <w:style w:type="paragraph" w:styleId="BalloonText">
    <w:name w:val="Balloon Text"/>
    <w:basedOn w:val="Normal"/>
    <w:link w:val="BalloonTextChar"/>
    <w:uiPriority w:val="99"/>
    <w:semiHidden/>
    <w:rsid w:val="006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802FA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0802FA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800026.T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343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Zsizsu</dc:creator>
  <cp:keywords/>
  <dc:description/>
  <cp:lastModifiedBy>-</cp:lastModifiedBy>
  <cp:revision>2</cp:revision>
  <dcterms:created xsi:type="dcterms:W3CDTF">2015-09-07T08:07:00Z</dcterms:created>
  <dcterms:modified xsi:type="dcterms:W3CDTF">2015-09-07T08:07:00Z</dcterms:modified>
</cp:coreProperties>
</file>